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 w:cs="微软雅黑"/>
          <w:sz w:val="36"/>
          <w:szCs w:val="28"/>
        </w:rPr>
      </w:pPr>
      <w:r>
        <w:rPr>
          <w:rFonts w:hint="eastAsia" w:ascii="方正小标宋简体" w:hAnsi="微软雅黑" w:eastAsia="方正小标宋简体" w:cs="微软雅黑"/>
          <w:sz w:val="36"/>
          <w:szCs w:val="28"/>
        </w:rPr>
        <w:t>2016年品牌创新成果发布活动优秀个人名单</w:t>
      </w:r>
    </w:p>
    <w:tbl>
      <w:tblPr>
        <w:tblStyle w:val="3"/>
        <w:tblpPr w:leftFromText="180" w:rightFromText="180" w:vertAnchor="text" w:horzAnchor="page" w:tblpXSpec="center" w:tblpY="307"/>
        <w:tblOverlap w:val="never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419"/>
        <w:gridCol w:w="19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jc w:val="center"/>
              <w:rPr>
                <w:rFonts w:ascii="黑体" w:hAnsi="微软雅黑" w:eastAsia="黑体" w:cs="微软雅黑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品牌创新领军人物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姓名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单位名称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职位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董明珠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珠海格力电器股份有限公司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董事长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兼总裁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理论创新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李希勇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兖州煤业股份有限公司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董事长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王占刚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河北衡水老白干酒业股份有限公司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品牌创新优秀推进者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周名胜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华北制药股份有限公司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曾普海</w:t>
            </w:r>
          </w:p>
        </w:tc>
        <w:tc>
          <w:tcPr>
            <w:tcW w:w="44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云南驰宏锌锗股份有限公司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副总经理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战略创新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501E"/>
    <w:rsid w:val="3C255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2017-11-16T05:20:00Z</dcterms:created>
  <dc:creator>Only One、De承諾。</dc:creator>
  <cp:lastModifiedBy>Only One、De承諾。</cp:lastModifiedBy>
  <dcterms:modified xsi:type="dcterms:W3CDTF">2017-11-16T05:20:36Z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