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312" w:beforeLines="100" w:beforeAutospacing="0" w:afterAutospacing="0" w:line="460" w:lineRule="exact"/>
        <w:ind w:firstLine="880" w:firstLineChars="200"/>
        <w:jc w:val="center"/>
        <w:rPr>
          <w:rFonts w:ascii="方正小标宋简体" w:hAnsi="黑体" w:eastAsia="方正小标宋简体" w:cs="仿宋_GB2312"/>
          <w:sz w:val="44"/>
          <w:szCs w:val="44"/>
        </w:rPr>
      </w:pPr>
      <w:r>
        <w:rPr>
          <w:rFonts w:ascii="方正小标宋简体" w:hAnsi="黑体" w:eastAsia="方正小标宋简体" w:cs="仿宋_GB2312"/>
          <w:sz w:val="44"/>
          <w:szCs w:val="44"/>
        </w:rPr>
        <w:t>2017年中国企业品牌创新成果名单</w:t>
      </w:r>
    </w:p>
    <w:tbl>
      <w:tblPr>
        <w:tblStyle w:val="4"/>
        <w:tblW w:w="86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3733"/>
        <w:gridCol w:w="2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65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32"/>
              </w:rPr>
              <w:t>申报组织名称</w:t>
            </w:r>
          </w:p>
        </w:tc>
        <w:tc>
          <w:tcPr>
            <w:tcW w:w="373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32"/>
              </w:rPr>
              <w:t>申报成果名称</w:t>
            </w:r>
          </w:p>
        </w:tc>
        <w:tc>
          <w:tcPr>
            <w:tcW w:w="221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32"/>
              </w:rPr>
              <w:t>申报类别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深圳供电局有限公司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电网企业品牌发展评价模型及测评机制运行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加西贝拉压缩机有限公司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以“质量+服务”为核心的中间产品品牌战略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广州汽车集团乘用车有限公司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以体系创新与全价值链合力推动广汽传祺品牌建设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广东淘家科技有限公司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O2O商业模式泛家居品类整合运营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邯郸制药股份有限公司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高质量中成药的品牌战略创新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深圳市傲基电子商务股份有限公司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AUKEY 品牌国际化创新实践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马钢（集团）控股有限公司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基于战略导向的钢铁多元品牌的构建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交运集团青岛温馨巴士有限公司</w:t>
            </w:r>
          </w:p>
        </w:tc>
        <w:tc>
          <w:tcPr>
            <w:tcW w:w="3733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“温馨”文化助力品牌转型升级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山东泉林纸业有限责任公司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“泉林本色”品牌建设规划与实施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江苏省苏中建设集团股份有限公司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集中采购，提升品牌竞争力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中国石化集团中原石油勘探局有限公司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中原服务品牌的“七个”维度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西安黄河光伏科技股份有限公司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黄河光伏品牌战略创新实践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上海凤凰自行车有限公司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“凤凰”品牌国际战略的制定与实施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中亿丰建设集团股份有限公司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“和合”品牌内涵与时代定位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品牌文化创新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广东电网有限责任公司东莞供电局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“电莞家”品牌文化创新与应用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品牌文化创新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广东电网有限责任公司肇庆供电局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“和谐星光  肇亮幸福”星文化品牌建设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品牌文化创新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广西电网有限责任公司百色供电局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千姿百色 电亮红城——塑造红色革命老区电网企业品牌文化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品牌文化创新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河北华北石油迪威尔石化装备工程技术有限公司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迪威尔公司企业文化建设品牌创新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品牌文化创新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广西梧州双钱实业有限公司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“双钱”龟苓膏独特文化体系的塑造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品牌文化创新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广西电网有限责任公司南宁供电局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“知行·律诚”特色品牌文化的构建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品牌文化创新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贵州电网有限责任公司贵阳供电局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  <w:t>践行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《南网总纲》，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  <w:t>打造“贵行贵知”的文化体系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品牌文化创新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海南电网有限责任公司海口供电局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“电哥电嫂”服务队品牌的建设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品牌文化创新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广西电网有限责任公司崇左供电局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 xml:space="preserve"> “崇正”文化体系的构建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品牌文化创新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云南电网有限责任公司楚雄供电局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“热心楚电·点亮彝州”品牌文化创新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品牌文化创新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大连集发南岸国际物流有限公司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“一二三四”管理法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品牌文化创新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国网陕西省电力公司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大型电网企业立体化舆论引导体系管理实践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品牌传播创新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河北华北石油迪威尔石化装备工程技术有限公司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迪威尔公司创新工作室品牌传播创新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品牌传播创新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马钢（集团）控股有限公司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马钢品牌建设舆论场的全方位构筑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品牌传播创新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广东电网有限责任公司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“蓝”+ 品牌传播体系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品牌传播创新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上海振华重工（集团）股份有限公司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品牌传播路径的优化与创新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品牌传播创新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上海上药信谊药厂有限公司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  <w:t>医药品牌精准传播实践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品牌传播创新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山东景芝酒业股份有限公司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景芝酒业的品牌沟通模式创新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品牌传播创新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北京华博创科科技股份有限公司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高科技企业新型学徒制与精准教育扶贫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履行社会责任创新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深圳供电局有限公司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“变电站+充电站”运营模式的探索与实践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履行社会责任创新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广西质量协会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  <w:t>质量诊断与效益评价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在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  <w:t>汽车产业的运行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履行社会责任创新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云南电网有限责任公司迪庆供电局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“1234567”精准扶贫模式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履行社会责任创新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云南电网有限责任公司昭通供电局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“37度温暖乌蒙”社会责任创新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履行社会责任创新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贵州电网有限责任公司遵义供电局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“爱度”公益创新社会责任助力脱贫攻坚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履行社会责任创新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国网浙江杭州市萧山区供电有限公司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  <w:t>“点亮玉树”精准扶贫项目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履行社会责任创新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交运集团青岛温馨巴士有限公司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优质化与精细化服务提升品牌社会影响力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履行社会责任创新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山东临工工程机械有限公司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临工好司机项目实践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履行社会责任创新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广东电网有限责任公司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 xml:space="preserve"> “蓝公益”品牌的系统打造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履行社会责任创新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中国电信股份有限公司 上海市民服务热线运营中心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上海“12345服务品牌”的打造与运营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履行社会责任创新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博奥生物集团有限公司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遗传性耳聋基因诊断芯片系统的研制与应用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产品/服务创新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国网江苏省电力有限公司检修分公司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变电站电磁环境净空间生成器的研制与运行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产品/服务创新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深圳供电局有限公司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“璀璨盒子”户外电力设施形象提升工程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产品/服务创新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广东电网有限责任公司东莞供电局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创新“三个一分钟”快速响应机制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产品/服务创新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承德德厦新型建材有限公司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透水砖的研发与创新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产品/服务创新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广西梧州制药（集团）股份有限公司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  <w:t>以科技创新推动注射用血栓通质量升级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产品/服务创新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扬子江药业集团北京海燕药业有限公司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  <w:t>苏黄止咳胶囊的成果转化落地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产品/服务创新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大连集装箱码头有限公司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“完美交付”大件操作服务品牌的建设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产品/服务创新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金晶（集团）有限公司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金晶产品服务创新体系的运行与成效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产品/服务创新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广西电网有限责任公司防城港供电局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南网兄弟服务队党建服务品牌建设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产品/服务创新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广州广电银通金融电子科技有限公司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“互联网+”驱动的金融外包企业一站式服务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产品/服务创新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深圳广电银通金融电子科技有限公司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  <w:t>智慧金融“投建运一体化”管理实践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产品/服务创新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北京瑞普北光电子有限公司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  <w:t>小型化封装的光电耦合器产业化项目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产品/服务创新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北京合力云通科技有限公司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云眼 - 基于A/B测试的商业决策优化系统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产品/服务创新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上海机场（集团）有限公司虹桥国际机场公司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基于专业交叉的能源系统一体化服务体系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产品/服务创新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上海交大昂立股份有限公司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益生菌技术的创新与实践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产品/服务创新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上海电力设计院有限公司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上海轨道交通供电设计优化与创新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产品/服务创新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上海华力微电子有限公司</w:t>
            </w:r>
          </w:p>
        </w:tc>
        <w:tc>
          <w:tcPr>
            <w:tcW w:w="3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创建集成电路工程技术服务新模式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产品/服务创新</w:t>
            </w:r>
          </w:p>
        </w:tc>
      </w:tr>
    </w:tbl>
    <w:p>
      <w:pPr>
        <w:spacing w:line="560" w:lineRule="exac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60FAD"/>
    <w:rsid w:val="3BA60FA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Arial Unicode MS" w:hAnsi="Arial Unicode MS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2018-08-21T05:09:00Z</dcterms:created>
  <dc:creator>Only One、De承諾。</dc:creator>
  <cp:lastModifiedBy>Only One、De承諾。</cp:lastModifiedBy>
  <dcterms:modified xsi:type="dcterms:W3CDTF">2018-08-21T05:09:54Z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