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819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IATF16949:2016标准五大核心工具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3200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元/人（含授课费、培训期间午餐、资料费、证书费等；</w:t>
            </w:r>
            <w:r>
              <w:rPr>
                <w:rFonts w:hint="eastAsia" w:ascii="宋体" w:hAnsi="宋体"/>
                <w:b/>
                <w:sz w:val="24"/>
              </w:rPr>
              <w:t>企业每选送6人，可免1名领队培训费</w:t>
            </w:r>
            <w:r>
              <w:rPr>
                <w:rFonts w:ascii="宋体" w:hAnsi="宋体"/>
                <w:b/>
                <w:sz w:val="24"/>
              </w:rPr>
              <w:t>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321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textAlignment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 68419670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2556A6"/>
    <w:multiLevelType w:val="multilevel"/>
    <w:tmpl w:val="722556A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A3937"/>
    <w:rsid w:val="4B0A393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2018-09-25T06:36:00Z</dcterms:created>
  <dc:creator>吴璠</dc:creator>
  <cp:lastModifiedBy>吴璠</cp:lastModifiedBy>
  <dcterms:modified xsi:type="dcterms:W3CDTF">2018-09-25T06:37:00Z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